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E005" w14:textId="77777777" w:rsidR="007C4822" w:rsidRPr="00E960BB" w:rsidRDefault="00997F14" w:rsidP="007C482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C4822" w:rsidRPr="00B169DF">
        <w:rPr>
          <w:rFonts w:ascii="Corbel" w:hAnsi="Corbel"/>
          <w:bCs/>
          <w:i/>
        </w:rPr>
        <w:t>Załącznik nr 1.5 do Zarządzenia Rektora UR nr 7/2023</w:t>
      </w:r>
    </w:p>
    <w:p w14:paraId="2197CC53" w14:textId="77777777" w:rsidR="007C4822" w:rsidRPr="009C54AE" w:rsidRDefault="007C4822" w:rsidP="007C48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8661F2" w14:textId="77777777" w:rsidR="007C4822" w:rsidRPr="009C54AE" w:rsidRDefault="007C4822" w:rsidP="007C48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510272">
        <w:rPr>
          <w:rFonts w:ascii="Corbel" w:hAnsi="Corbel"/>
          <w:b/>
          <w:smallCaps/>
          <w:sz w:val="24"/>
          <w:szCs w:val="24"/>
        </w:rPr>
        <w:t>2027/2028</w:t>
      </w:r>
    </w:p>
    <w:p w14:paraId="596859ED" w14:textId="77777777" w:rsidR="007C4822" w:rsidRDefault="007C4822" w:rsidP="007C48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4ED136" w14:textId="77777777" w:rsidR="007C4822" w:rsidRPr="00EA4832" w:rsidRDefault="007C4822" w:rsidP="007C48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2027/2028</w:t>
      </w:r>
    </w:p>
    <w:p w14:paraId="51BCBE9C" w14:textId="77777777" w:rsidR="0085747A" w:rsidRPr="009C54AE" w:rsidRDefault="0085747A" w:rsidP="007C4822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0E957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217365" w14:textId="77777777" w:rsidTr="00B819C8">
        <w:tc>
          <w:tcPr>
            <w:tcW w:w="2694" w:type="dxa"/>
            <w:vAlign w:val="center"/>
          </w:tcPr>
          <w:p w14:paraId="22C0CC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66D5B5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papierów wartościowych</w:t>
            </w:r>
          </w:p>
        </w:tc>
      </w:tr>
      <w:tr w:rsidR="0085747A" w:rsidRPr="009C54AE" w14:paraId="318E73B0" w14:textId="77777777" w:rsidTr="00B819C8">
        <w:tc>
          <w:tcPr>
            <w:tcW w:w="2694" w:type="dxa"/>
            <w:vAlign w:val="center"/>
          </w:tcPr>
          <w:p w14:paraId="7354C0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9D00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7CD437" w14:textId="77777777" w:rsidTr="00B819C8">
        <w:tc>
          <w:tcPr>
            <w:tcW w:w="2694" w:type="dxa"/>
            <w:vAlign w:val="center"/>
          </w:tcPr>
          <w:p w14:paraId="40F8E3E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4CF5C2" w14:textId="77777777" w:rsidR="0085747A" w:rsidRPr="00BA3B5A" w:rsidRDefault="00BA3B5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A3B5A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0CEB3242" w14:textId="77777777" w:rsidTr="00B819C8">
        <w:tc>
          <w:tcPr>
            <w:tcW w:w="2694" w:type="dxa"/>
            <w:vAlign w:val="center"/>
          </w:tcPr>
          <w:p w14:paraId="25E61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6A1D1A" w14:textId="77777777" w:rsidR="0085747A" w:rsidRPr="009C54AE" w:rsidRDefault="00BA3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1DC5916A" w14:textId="77777777" w:rsidTr="00B819C8">
        <w:tc>
          <w:tcPr>
            <w:tcW w:w="2694" w:type="dxa"/>
            <w:vAlign w:val="center"/>
          </w:tcPr>
          <w:p w14:paraId="35F3D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879755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79A0B9F6" w14:textId="77777777" w:rsidTr="00B819C8">
        <w:tc>
          <w:tcPr>
            <w:tcW w:w="2694" w:type="dxa"/>
            <w:vAlign w:val="center"/>
          </w:tcPr>
          <w:p w14:paraId="3F685A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0A618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1467E44B" w14:textId="77777777" w:rsidTr="00B819C8">
        <w:tc>
          <w:tcPr>
            <w:tcW w:w="2694" w:type="dxa"/>
            <w:vAlign w:val="center"/>
          </w:tcPr>
          <w:p w14:paraId="260B0B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B1E9ED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6564A75B" w14:textId="77777777" w:rsidTr="00B819C8">
        <w:tc>
          <w:tcPr>
            <w:tcW w:w="2694" w:type="dxa"/>
            <w:vAlign w:val="center"/>
          </w:tcPr>
          <w:p w14:paraId="70ADD7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3ADE07" w14:textId="77777777" w:rsidR="0085747A" w:rsidRPr="009C54AE" w:rsidRDefault="004909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0E2FD7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14:paraId="4EE75282" w14:textId="77777777" w:rsidTr="00B819C8">
        <w:tc>
          <w:tcPr>
            <w:tcW w:w="2694" w:type="dxa"/>
            <w:vAlign w:val="center"/>
          </w:tcPr>
          <w:p w14:paraId="61752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8E0875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60CC956B" w14:textId="77777777" w:rsidTr="00B819C8">
        <w:tc>
          <w:tcPr>
            <w:tcW w:w="2694" w:type="dxa"/>
            <w:vAlign w:val="center"/>
          </w:tcPr>
          <w:p w14:paraId="1B5535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F3FA0D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745E9BAC" w14:textId="77777777" w:rsidTr="00B819C8">
        <w:tc>
          <w:tcPr>
            <w:tcW w:w="2694" w:type="dxa"/>
            <w:vAlign w:val="center"/>
          </w:tcPr>
          <w:p w14:paraId="238D1BC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6EE546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9D038F" w14:paraId="361FA531" w14:textId="77777777" w:rsidTr="00B819C8">
        <w:tc>
          <w:tcPr>
            <w:tcW w:w="2694" w:type="dxa"/>
            <w:vAlign w:val="center"/>
          </w:tcPr>
          <w:p w14:paraId="6C870F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65D8D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BA3B5A" w14:paraId="40577C73" w14:textId="77777777" w:rsidTr="00B819C8">
        <w:tc>
          <w:tcPr>
            <w:tcW w:w="2694" w:type="dxa"/>
            <w:vAlign w:val="center"/>
          </w:tcPr>
          <w:p w14:paraId="771120C3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22E27B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74E139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52F4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713E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759D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1681B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6A9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5E8C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2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A3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1C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DE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F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2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B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7E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85D21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1307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E8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AB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B6D" w14:textId="77777777" w:rsidR="00015B8F" w:rsidRPr="009C54AE" w:rsidRDefault="007C48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8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BA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85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6C3A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D8F70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8A6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A5D48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D68BA5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B7FB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3A3C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2CB9C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52E0BAA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54F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B33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DA09A6" w14:textId="77777777" w:rsidTr="00745302">
        <w:tc>
          <w:tcPr>
            <w:tcW w:w="9670" w:type="dxa"/>
          </w:tcPr>
          <w:p w14:paraId="69D6ADE5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26B10EE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94A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E8BEED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65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D97A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5EE70A7" w14:textId="77777777" w:rsidTr="00923D7D">
        <w:tc>
          <w:tcPr>
            <w:tcW w:w="851" w:type="dxa"/>
            <w:vAlign w:val="center"/>
          </w:tcPr>
          <w:p w14:paraId="6543EFD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555017" w14:textId="77777777" w:rsidR="0085747A" w:rsidRPr="00E3776A" w:rsidRDefault="00E3776A" w:rsidP="00E3776A">
            <w:pPr>
              <w:pStyle w:val="NormalnyWeb"/>
              <w:shd w:val="clear" w:color="auto" w:fill="FFFFFF"/>
              <w:jc w:val="both"/>
            </w:pPr>
            <w:r>
              <w:rPr>
                <w:rFonts w:ascii="TimesNewRomanPSMT" w:hAnsi="TimesNewRomanPSMT"/>
                <w:sz w:val="22"/>
                <w:szCs w:val="22"/>
              </w:rPr>
              <w:t xml:space="preserve">Wykład prezentuje teoretyczną i praktyczną wiedzę z prawa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rynków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kapitałowych.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Podjęta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tematyka omawia powszechnie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instrumenty finansowe,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dając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możliwośc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́ prowadzenia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ożywionej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dyskusji w zakresie prawnych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instrumentów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dostępnych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podmiotom stosunku cywilnoprawnego. Przedstawione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zostana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̨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równiez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̇ organy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regulujące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rynek kapitałowy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posiadające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kompetencje nadzorcze i kontrolne </w:t>
            </w:r>
          </w:p>
        </w:tc>
      </w:tr>
    </w:tbl>
    <w:p w14:paraId="176478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70C64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654"/>
        <w:gridCol w:w="2246"/>
      </w:tblGrid>
      <w:tr w:rsidR="0085747A" w:rsidRPr="009C54AE" w14:paraId="1A1D935F" w14:textId="77777777" w:rsidTr="008C5CFD">
        <w:tc>
          <w:tcPr>
            <w:tcW w:w="1650" w:type="dxa"/>
            <w:vAlign w:val="center"/>
          </w:tcPr>
          <w:p w14:paraId="75739FEE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20" w:type="dxa"/>
            <w:vAlign w:val="center"/>
          </w:tcPr>
          <w:p w14:paraId="6FCB5D40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67C560C0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003357" w14:textId="77777777" w:rsidTr="008C5CFD">
        <w:tc>
          <w:tcPr>
            <w:tcW w:w="1650" w:type="dxa"/>
          </w:tcPr>
          <w:p w14:paraId="7BAB7362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20" w:type="dxa"/>
          </w:tcPr>
          <w:p w14:paraId="7B766890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2276" w:type="dxa"/>
          </w:tcPr>
          <w:p w14:paraId="08966729" w14:textId="77777777"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51927F4A" w14:textId="77777777" w:rsidTr="008C5CFD">
        <w:tc>
          <w:tcPr>
            <w:tcW w:w="1650" w:type="dxa"/>
          </w:tcPr>
          <w:p w14:paraId="5BBE40DC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20" w:type="dxa"/>
          </w:tcPr>
          <w:p w14:paraId="2CCB10DD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 xml:space="preserve">ma uporządkowaną wiedzę na temat prawa papierów wartościowych. Potrafi wskazać działania zagrażające inwestycjom. Wykazuje się wiedzą w zakresie zasad </w:t>
            </w:r>
            <w:r w:rsidR="00C05DF5">
              <w:rPr>
                <w:smallCaps/>
                <w:color w:val="000000"/>
                <w:sz w:val="22"/>
                <w:szCs w:val="22"/>
                <w:u w:color="000000"/>
              </w:rPr>
              <w:t>przeciwdziałania ryzykom inwestycyjnym. Definiuje zadania organów nadzoru, wskazuje instrumenty ochrony prawnej uczestników rynku</w:t>
            </w:r>
          </w:p>
        </w:tc>
        <w:tc>
          <w:tcPr>
            <w:tcW w:w="2276" w:type="dxa"/>
          </w:tcPr>
          <w:p w14:paraId="0552B911" w14:textId="77777777" w:rsidR="0085747A" w:rsidRPr="003D020C" w:rsidRDefault="008C5CFD" w:rsidP="00E3776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85747A" w:rsidRPr="009C54AE" w14:paraId="636F1261" w14:textId="77777777" w:rsidTr="008C5CFD">
        <w:tc>
          <w:tcPr>
            <w:tcW w:w="1650" w:type="dxa"/>
          </w:tcPr>
          <w:p w14:paraId="7C2A29F9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20" w:type="dxa"/>
          </w:tcPr>
          <w:p w14:paraId="78992B77" w14:textId="77777777"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2276" w:type="dxa"/>
          </w:tcPr>
          <w:p w14:paraId="272577BB" w14:textId="77777777"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8C5CFD" w14:paraId="67309B04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0" w:type="dxa"/>
          </w:tcPr>
          <w:p w14:paraId="3720FE16" w14:textId="77777777" w:rsidR="008C5CFD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20" w:type="dxa"/>
          </w:tcPr>
          <w:p w14:paraId="07C06C96" w14:textId="77777777"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2276" w:type="dxa"/>
          </w:tcPr>
          <w:p w14:paraId="7C125AC1" w14:textId="77777777" w:rsidR="008C5CFD" w:rsidRPr="003D020C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8C5CFD" w14:paraId="5AC0396C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0" w:type="dxa"/>
          </w:tcPr>
          <w:p w14:paraId="4EB7E0DD" w14:textId="77777777" w:rsidR="008C5CFD" w:rsidRPr="006A72B3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7F3A5426" w14:textId="77777777" w:rsidR="008C5CFD" w:rsidRDefault="008C5CFD" w:rsidP="008C5CFD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20" w:type="dxa"/>
          </w:tcPr>
          <w:p w14:paraId="7BBB3C26" w14:textId="77777777"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2276" w:type="dxa"/>
          </w:tcPr>
          <w:p w14:paraId="58FF71DE" w14:textId="77777777" w:rsidR="008C5CFD" w:rsidRPr="008C5CFD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5CFD">
              <w:rPr>
                <w:rFonts w:ascii="Corbel" w:hAnsi="Corbel"/>
                <w:b w:val="0"/>
                <w:sz w:val="22"/>
              </w:rPr>
              <w:t>K_U04, KU_08, K_U08, K_U10, K_U12, K_U17, K_K06, K_K07, K_K10</w:t>
            </w:r>
          </w:p>
        </w:tc>
      </w:tr>
      <w:tr w:rsidR="008C5CFD" w14:paraId="3FB39588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14:paraId="1B67D408" w14:textId="77777777" w:rsidR="008C5CFD" w:rsidRPr="003D020C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20" w:type="dxa"/>
          </w:tcPr>
          <w:p w14:paraId="793DEAAE" w14:textId="77777777" w:rsidR="008C5CFD" w:rsidRPr="003D020C" w:rsidRDefault="008C5CFD" w:rsidP="00C05DF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576102C1" w14:textId="77777777"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8C5CFD" w14:paraId="27CD3B2C" w14:textId="77777777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14:paraId="677C6011" w14:textId="77777777" w:rsidR="008C5CFD" w:rsidRPr="003D020C" w:rsidRDefault="008C5CFD" w:rsidP="008C5C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20" w:type="dxa"/>
          </w:tcPr>
          <w:p w14:paraId="297E47F7" w14:textId="77777777" w:rsidR="008C5CFD" w:rsidRPr="003D020C" w:rsidRDefault="008C5CFD" w:rsidP="008C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6C9B95C3" w14:textId="77777777"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0763DF07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1D6FD36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0EEC2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051F8F1C" w14:textId="77777777" w:rsidTr="003D020C">
        <w:trPr>
          <w:trHeight w:val="85"/>
        </w:trPr>
        <w:tc>
          <w:tcPr>
            <w:tcW w:w="8502" w:type="dxa"/>
          </w:tcPr>
          <w:p w14:paraId="6586F2DA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72EC6924" w14:textId="77777777" w:rsidTr="003D020C">
        <w:trPr>
          <w:trHeight w:val="85"/>
        </w:trPr>
        <w:tc>
          <w:tcPr>
            <w:tcW w:w="8502" w:type="dxa"/>
          </w:tcPr>
          <w:p w14:paraId="26C1C697" w14:textId="77777777" w:rsidR="00E3776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Ogólna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charakterystyka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w zakresie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źródeł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prawa,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pojęc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́, funkcji i praktycznego zastosowania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następujących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instrumentów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finansowych: </w:t>
            </w:r>
            <w:r w:rsidR="00E3776A" w:rsidRPr="003C06AE">
              <w:rPr>
                <w:rFonts w:ascii="Corbel" w:hAnsi="Corbel"/>
                <w:sz w:val="20"/>
                <w:szCs w:val="20"/>
              </w:rPr>
              <w:t xml:space="preserve">a) Weksla, b) Czeku, c) </w:t>
            </w:r>
            <w:r w:rsidR="00E3776A" w:rsidRPr="003C06AE">
              <w:rPr>
                <w:rFonts w:ascii="Corbel" w:hAnsi="Corbel"/>
                <w:sz w:val="20"/>
                <w:szCs w:val="20"/>
              </w:rPr>
              <w:lastRenderedPageBreak/>
              <w:t xml:space="preserve">Akcji, d) Obligacji, e)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Bonów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komercyjnych, f) Konosamentu, g) Bankowych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, h)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Kwitów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depozytowych, i)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Listów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zastawnych, j)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Znaków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legitymacyjnych, k) Dowodu składowego jako znaku legitymacyjnego, l) Przekazu, m) Pochodnych transakcji terminowych</w:t>
            </w:r>
          </w:p>
        </w:tc>
      </w:tr>
      <w:tr w:rsidR="0085747A" w:rsidRPr="009C54AE" w14:paraId="7D16385D" w14:textId="77777777" w:rsidTr="003D020C">
        <w:trPr>
          <w:trHeight w:val="85"/>
        </w:trPr>
        <w:tc>
          <w:tcPr>
            <w:tcW w:w="8502" w:type="dxa"/>
          </w:tcPr>
          <w:p w14:paraId="728A858F" w14:textId="77777777" w:rsidR="0020055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lastRenderedPageBreak/>
              <w:t>II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Instytucje rynku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: </w:t>
            </w:r>
          </w:p>
          <w:p w14:paraId="4732A5FA" w14:textId="77777777" w:rsidR="00C81AC6" w:rsidRPr="003C06AE" w:rsidRDefault="00E3776A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informacje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rynkiem kapitałowym: a) Podział rynku finansowego</w:t>
            </w:r>
            <w:r w:rsidRPr="003C06AE">
              <w:rPr>
                <w:rFonts w:ascii="Corbel" w:hAnsi="Corbel"/>
                <w:sz w:val="20"/>
                <w:szCs w:val="20"/>
              </w:rPr>
              <w:br/>
              <w:t xml:space="preserve">b)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rynku regulowanego</w:t>
            </w:r>
          </w:p>
        </w:tc>
      </w:tr>
      <w:tr w:rsidR="0085747A" w:rsidRPr="009C54AE" w14:paraId="3C2F6AB2" w14:textId="77777777" w:rsidTr="003D020C">
        <w:trPr>
          <w:trHeight w:val="707"/>
        </w:trPr>
        <w:tc>
          <w:tcPr>
            <w:tcW w:w="8502" w:type="dxa"/>
          </w:tcPr>
          <w:p w14:paraId="587D521A" w14:textId="77777777" w:rsidR="00C81AC6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III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Publiczny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obrót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papierami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wartościowymi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14:paraId="5AC39546" w14:textId="77777777" w:rsidR="00616643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1. Giełda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-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historia i obecny status Giełdy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wprowadzenie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Warszawską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Giełde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c) sesje giełdowe, system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notowan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spółek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podstawowe elementy transakcji giełdowej, e) wykluczenie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obrotu giełdowego, f) strony transakcji giełdowych, g)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indeksy giełdowe, </w:t>
            </w:r>
          </w:p>
          <w:p w14:paraId="1C427280" w14:textId="77777777" w:rsidR="0020055A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2. Giełdy towarowe: a) podstawowe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tworzenie i zadania giełdy towarowej, c) członkowie giełdy towarowej, d)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obrót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giełdowy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majątkowymi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maklerów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towarowych, 3. Organy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pośredniczące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rynku kapitałowym: a) domy maklerskie, b) maklerzy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doradcy inwestycyjni, c) doradztwo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zarządzanie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cudzymi pakietami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instytucje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maklerskich- fundusz gwarancyjny, e) gwarancje bezpiecznego nadzoru </w:t>
            </w:r>
          </w:p>
        </w:tc>
      </w:tr>
      <w:tr w:rsidR="0020055A" w:rsidRPr="009C54AE" w14:paraId="5778CC0B" w14:textId="77777777" w:rsidTr="003D020C">
        <w:trPr>
          <w:trHeight w:val="387"/>
        </w:trPr>
        <w:tc>
          <w:tcPr>
            <w:tcW w:w="8502" w:type="dxa"/>
          </w:tcPr>
          <w:p w14:paraId="021D1279" w14:textId="77777777" w:rsidR="00616643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IV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organy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regulujące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rynek kapitałowy </w:t>
            </w:r>
          </w:p>
          <w:p w14:paraId="305A5D56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Komisja Nadzoru Finansowego: a) status prawny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główne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zadania, b) skład komisji i jej uchwały, c)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najważniejsze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kompetencje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przewodniczącego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KNF, d)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postępowanie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przed KNF </w:t>
            </w:r>
          </w:p>
          <w:p w14:paraId="15BB7A9F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Kontrola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zachowan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́ monopolowych dokonywana przez Komisję Nadzoru Finansowego oraz Prezesa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kontrola zamiaru nabycia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powyżej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kwalifikowanych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progów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b) nabywanie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maklerskich w znacznych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ilościach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</w:t>
            </w:r>
          </w:p>
          <w:p w14:paraId="545BF017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3.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Krajowy Depozyt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status prawny, b) uczestnicy Krajowego Depozytu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c) rejestrowanie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zasady niematerialnej formy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formy uczestnictwa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operacje na papierach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dokonywane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66168363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4.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Prezes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inwestycyjnymi, b)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emerytalnymi </w:t>
            </w:r>
          </w:p>
          <w:p w14:paraId="08BB4F6D" w14:textId="77777777"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5.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Depozytariusz w funduszach inwestycyjnych i emerytalnych </w:t>
            </w:r>
          </w:p>
          <w:p w14:paraId="14E2AFA3" w14:textId="77777777" w:rsidR="00C81AC6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6.Uprawnienia Prezesa Narodowego Banku Polskiego w zakresie obrotu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20055A" w:rsidRPr="009C54AE" w14:paraId="6AFCA41F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503894F1" w14:textId="77777777"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V</w:t>
            </w:r>
            <w:r w:rsidR="00851D1C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Inwestowanie i inwestorzy zbiorowi na rynku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14:paraId="25B6BE50" w14:textId="77777777" w:rsidR="003C06AE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Inwestowanie w papiery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: a) ocenianie ryzyka, b) metody minimalizacji ryzyka, c) metody analizy technicznej i fundamentalnej, d) metody analizy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wskaźnikowej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6EAFD7F4" w14:textId="77777777" w:rsidR="00851D1C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Fundusze inwestycyjne: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charakterystyka i podstawowe elementy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ułatwiające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ich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odróżnianie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Fundusze inwestycyjne – podstawa prawna, c) Procedura tworzenia towarzystwa funduszy inwestycyjnych, d) Tworzenie funduszy inwestycyjnych, e) Zbywanie jednostek uczestnictwa albo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certyfikatów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f) Fundusz inwestycyjny otwarty, g) Specjalistyczne fundusze inwestycyjne otwarte, h) Fundusze inwestycyjne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i) Inne fundusze inwestycyjne, j) Fundusze inwestycyjne mieszane, k) Ustawowe instrumenty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służące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do zmniejszania ryzyka inwestycyjnego, l) Przekształcenie funduszy, m) Likwidacje funduszy inwestycyjnych, n)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różnice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pomiędzy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inwestycyjnym funduszem otwartym 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zamkniętym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</w:tbl>
    <w:p w14:paraId="79313C75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70E956C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324E0" w14:textId="77777777" w:rsidTr="00923D7D">
        <w:tc>
          <w:tcPr>
            <w:tcW w:w="9639" w:type="dxa"/>
          </w:tcPr>
          <w:p w14:paraId="42B3F1E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43191E5" w14:textId="77777777" w:rsidTr="00923D7D">
        <w:tc>
          <w:tcPr>
            <w:tcW w:w="9639" w:type="dxa"/>
          </w:tcPr>
          <w:p w14:paraId="6CBA5A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C75C64" w14:textId="77777777" w:rsidTr="00923D7D">
        <w:tc>
          <w:tcPr>
            <w:tcW w:w="9639" w:type="dxa"/>
          </w:tcPr>
          <w:p w14:paraId="3CB6C5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C8A1E1" w14:textId="77777777" w:rsidTr="00923D7D">
        <w:tc>
          <w:tcPr>
            <w:tcW w:w="9639" w:type="dxa"/>
          </w:tcPr>
          <w:p w14:paraId="5D3052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F6F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389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6B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A32FA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0CD28F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D1D3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A9AA4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58A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D8F3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67382883" w14:textId="77777777" w:rsidTr="000D4A1D">
        <w:tc>
          <w:tcPr>
            <w:tcW w:w="1990" w:type="dxa"/>
            <w:vAlign w:val="center"/>
          </w:tcPr>
          <w:p w14:paraId="2B0AA483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55FC8C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C66139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208CA3CC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7485A7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14:paraId="06FDF36D" w14:textId="77777777" w:rsidTr="000D4A1D">
        <w:tc>
          <w:tcPr>
            <w:tcW w:w="1990" w:type="dxa"/>
          </w:tcPr>
          <w:p w14:paraId="7077296A" w14:textId="77777777" w:rsidR="000D4A1D" w:rsidRPr="005E6E85" w:rsidRDefault="00C05DF5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7CC311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  <w:r w:rsidR="00C05DF5">
              <w:rPr>
                <w:b w:val="0"/>
                <w:sz w:val="22"/>
              </w:rPr>
              <w:t xml:space="preserve">, </w:t>
            </w:r>
            <w:r w:rsidR="00C05DF5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542AE2" w14:textId="77777777" w:rsidR="000D4A1D" w:rsidRPr="005E6E85" w:rsidRDefault="007C4822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1334225A" w14:textId="77777777" w:rsidTr="000D4A1D">
        <w:trPr>
          <w:trHeight w:val="260"/>
        </w:trPr>
        <w:tc>
          <w:tcPr>
            <w:tcW w:w="1990" w:type="dxa"/>
          </w:tcPr>
          <w:p w14:paraId="57704F79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AA5BB9D" w14:textId="77777777" w:rsidR="000D4A1D" w:rsidRPr="009C54AE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31B23AB" w14:textId="77777777" w:rsidR="000D4A1D" w:rsidRPr="009C54AE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6ADF3494" w14:textId="77777777" w:rsidTr="000D4A1D">
        <w:trPr>
          <w:trHeight w:val="290"/>
        </w:trPr>
        <w:tc>
          <w:tcPr>
            <w:tcW w:w="1990" w:type="dxa"/>
          </w:tcPr>
          <w:p w14:paraId="52169842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DBF358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C1348DD" w14:textId="77777777" w:rsidR="000D4A1D" w:rsidRPr="009C54AE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A367E73" w14:textId="77777777" w:rsidTr="000D4A1D">
        <w:trPr>
          <w:trHeight w:val="300"/>
        </w:trPr>
        <w:tc>
          <w:tcPr>
            <w:tcW w:w="1990" w:type="dxa"/>
          </w:tcPr>
          <w:p w14:paraId="0FF0F9FF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B3523A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C664374" w14:textId="77777777" w:rsidR="000D4A1D" w:rsidRPr="009C54AE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68BEC782" w14:textId="77777777" w:rsidTr="000D4A1D">
        <w:trPr>
          <w:trHeight w:val="240"/>
        </w:trPr>
        <w:tc>
          <w:tcPr>
            <w:tcW w:w="1990" w:type="dxa"/>
          </w:tcPr>
          <w:p w14:paraId="579DDC4A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E18ECE8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7D455AF1" w14:textId="77777777" w:rsidR="000D4A1D" w:rsidRPr="009C54AE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048257E2" w14:textId="77777777" w:rsidTr="000D4A1D">
        <w:trPr>
          <w:trHeight w:val="350"/>
        </w:trPr>
        <w:tc>
          <w:tcPr>
            <w:tcW w:w="1990" w:type="dxa"/>
          </w:tcPr>
          <w:p w14:paraId="79F8BF15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6C7884E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FC505F5" w14:textId="77777777" w:rsidR="000D4A1D" w:rsidRPr="009C54AE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399433F7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17721E58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1002D403" w14:textId="77777777" w:rsidR="000D4A1D" w:rsidRDefault="00C05DF5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78C39DA" w14:textId="77777777" w:rsidR="000D4A1D" w:rsidRDefault="007C4822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059A6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7E41C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6D2A28" w14:textId="77777777" w:rsidTr="00923D7D">
        <w:tc>
          <w:tcPr>
            <w:tcW w:w="9670" w:type="dxa"/>
          </w:tcPr>
          <w:p w14:paraId="79AF0559" w14:textId="77777777" w:rsidR="0085747A" w:rsidRPr="003D020C" w:rsidRDefault="00C05DF5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14:paraId="58F72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5F6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18D4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6AFFD8" w14:textId="77777777" w:rsidTr="003E1941">
        <w:tc>
          <w:tcPr>
            <w:tcW w:w="4962" w:type="dxa"/>
            <w:vAlign w:val="center"/>
          </w:tcPr>
          <w:p w14:paraId="4A8FC6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CCFF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045132" w14:textId="77777777" w:rsidTr="00923D7D">
        <w:tc>
          <w:tcPr>
            <w:tcW w:w="4962" w:type="dxa"/>
          </w:tcPr>
          <w:p w14:paraId="12E5D7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7FFE5C" w14:textId="77777777" w:rsidR="00185B26" w:rsidRDefault="007C4822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74DBA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EAA120A" w14:textId="77777777" w:rsidTr="00923D7D">
        <w:tc>
          <w:tcPr>
            <w:tcW w:w="4962" w:type="dxa"/>
          </w:tcPr>
          <w:p w14:paraId="1CABB5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55E4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201A9F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0FDD9C2" w14:textId="77777777" w:rsidTr="00923D7D">
        <w:tc>
          <w:tcPr>
            <w:tcW w:w="4962" w:type="dxa"/>
          </w:tcPr>
          <w:p w14:paraId="6D82F70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4BA8E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9A716A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FA02287" w14:textId="77777777" w:rsidTr="00923D7D">
        <w:tc>
          <w:tcPr>
            <w:tcW w:w="4962" w:type="dxa"/>
          </w:tcPr>
          <w:p w14:paraId="6597B0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67AE8E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1AFDE994" w14:textId="77777777" w:rsidTr="00923D7D">
        <w:tc>
          <w:tcPr>
            <w:tcW w:w="4962" w:type="dxa"/>
          </w:tcPr>
          <w:p w14:paraId="2D595D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67A3A6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6972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26C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3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571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0CFAFE" w14:textId="77777777" w:rsidTr="0071620A">
        <w:trPr>
          <w:trHeight w:val="397"/>
        </w:trPr>
        <w:tc>
          <w:tcPr>
            <w:tcW w:w="3544" w:type="dxa"/>
          </w:tcPr>
          <w:p w14:paraId="1358FA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9C95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33BA35" w14:textId="77777777" w:rsidTr="0071620A">
        <w:trPr>
          <w:trHeight w:val="397"/>
        </w:trPr>
        <w:tc>
          <w:tcPr>
            <w:tcW w:w="3544" w:type="dxa"/>
          </w:tcPr>
          <w:p w14:paraId="66059B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2C0E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7B47F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4A63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BEA9E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F11EC5" w14:textId="77777777" w:rsidTr="0071620A">
        <w:trPr>
          <w:trHeight w:val="397"/>
        </w:trPr>
        <w:tc>
          <w:tcPr>
            <w:tcW w:w="7513" w:type="dxa"/>
          </w:tcPr>
          <w:p w14:paraId="32D7DEE6" w14:textId="77777777" w:rsidR="000360DB" w:rsidRPr="003C06AE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1E8EE02B" w14:textId="77777777" w:rsidR="009D038F" w:rsidRPr="003C06AE" w:rsidRDefault="009D038F" w:rsidP="009D038F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Chłopecki, M. Dyl, </w:t>
            </w:r>
            <w:r w:rsidRPr="003C06AE">
              <w:rPr>
                <w:i/>
                <w:iCs/>
                <w:sz w:val="20"/>
                <w:szCs w:val="20"/>
              </w:rPr>
              <w:t>Prawo rynku kapitałowego</w:t>
            </w:r>
            <w:r w:rsidRPr="003C06AE">
              <w:rPr>
                <w:sz w:val="20"/>
                <w:szCs w:val="20"/>
              </w:rPr>
              <w:t>, Warszawa 2017</w:t>
            </w:r>
          </w:p>
          <w:p w14:paraId="6A3A9774" w14:textId="77777777" w:rsidR="009D038F" w:rsidRDefault="009D038F" w:rsidP="009D038F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2. U. Banaszczak- Soroka, </w:t>
            </w:r>
            <w:r w:rsidRPr="003C06AE">
              <w:rPr>
                <w:i/>
                <w:iCs/>
                <w:sz w:val="20"/>
                <w:szCs w:val="20"/>
              </w:rPr>
              <w:t xml:space="preserve">Rynek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>Warszawa 2016</w:t>
            </w:r>
          </w:p>
          <w:p w14:paraId="64D12211" w14:textId="77777777" w:rsidR="009D038F" w:rsidRPr="00FE550A" w:rsidRDefault="009D038F" w:rsidP="009D038F">
            <w:pPr>
              <w:pStyle w:val="NormalnyWeb"/>
              <w:shd w:val="clear" w:color="auto" w:fill="FFFFFF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J. </w:t>
            </w:r>
            <w:proofErr w:type="spellStart"/>
            <w:r>
              <w:rPr>
                <w:sz w:val="20"/>
                <w:szCs w:val="20"/>
              </w:rPr>
              <w:t>Mojak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 xml:space="preserve">Prawo papierów wartościowych. Zarys wykładu, </w:t>
            </w:r>
            <w:r w:rsidRPr="00FE550A">
              <w:rPr>
                <w:sz w:val="20"/>
                <w:szCs w:val="20"/>
              </w:rPr>
              <w:t>Warszawa 2020</w:t>
            </w:r>
          </w:p>
          <w:p w14:paraId="4614D9B7" w14:textId="77777777" w:rsidR="005721D5" w:rsidRPr="003C06AE" w:rsidRDefault="009D038F" w:rsidP="009D038F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rPr>
                <w:sz w:val="20"/>
                <w:szCs w:val="20"/>
              </w:rPr>
              <w:t>4</w:t>
            </w:r>
            <w:r w:rsidRPr="003C06AE">
              <w:rPr>
                <w:sz w:val="20"/>
                <w:szCs w:val="20"/>
              </w:rPr>
              <w:t xml:space="preserve">. J. Olszewski. </w:t>
            </w:r>
            <w:r w:rsidRPr="003C06AE">
              <w:rPr>
                <w:i/>
                <w:iCs/>
                <w:sz w:val="20"/>
                <w:szCs w:val="20"/>
              </w:rPr>
              <w:t xml:space="preserve">Prawo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i instytucje rynku kapitałowego</w:t>
            </w:r>
            <w:r w:rsidRPr="003C06AE">
              <w:rPr>
                <w:sz w:val="20"/>
                <w:szCs w:val="20"/>
              </w:rPr>
              <w:t xml:space="preserve">, </w:t>
            </w:r>
            <w:proofErr w:type="spellStart"/>
            <w:r w:rsidRPr="003C06AE">
              <w:rPr>
                <w:sz w:val="20"/>
                <w:szCs w:val="20"/>
              </w:rPr>
              <w:t>Przemyśl</w:t>
            </w:r>
            <w:proofErr w:type="spellEnd"/>
            <w:r w:rsidRPr="003C06AE">
              <w:rPr>
                <w:sz w:val="20"/>
                <w:szCs w:val="20"/>
              </w:rPr>
              <w:t xml:space="preserve"> 2000</w:t>
            </w:r>
          </w:p>
        </w:tc>
      </w:tr>
      <w:tr w:rsidR="0085747A" w:rsidRPr="003C06AE" w14:paraId="03504D9F" w14:textId="77777777" w:rsidTr="003D020C">
        <w:trPr>
          <w:trHeight w:val="272"/>
        </w:trPr>
        <w:tc>
          <w:tcPr>
            <w:tcW w:w="7513" w:type="dxa"/>
          </w:tcPr>
          <w:p w14:paraId="45362483" w14:textId="77777777" w:rsidR="0085747A" w:rsidRPr="003C06AE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4923913A" w14:textId="77777777" w:rsid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M. </w:t>
            </w:r>
            <w:proofErr w:type="spellStart"/>
            <w:r w:rsidRPr="003C06AE">
              <w:rPr>
                <w:sz w:val="20"/>
                <w:szCs w:val="20"/>
              </w:rPr>
              <w:t>Weber-Elżanowska</w:t>
            </w:r>
            <w:proofErr w:type="spellEnd"/>
            <w:r w:rsidRPr="003C06AE">
              <w:rPr>
                <w:sz w:val="20"/>
                <w:szCs w:val="20"/>
              </w:rPr>
              <w:t xml:space="preserve">, </w:t>
            </w:r>
            <w:r w:rsidRPr="003C06AE">
              <w:rPr>
                <w:i/>
                <w:iCs/>
                <w:sz w:val="20"/>
                <w:szCs w:val="20"/>
              </w:rPr>
              <w:t xml:space="preserve">Wpływ instytucji prawnych rynku kapitałowego na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efektywnośc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Spółek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Skarbu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Państwa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 xml:space="preserve">Warszawa 2017 </w:t>
            </w:r>
          </w:p>
          <w:p w14:paraId="74873D87" w14:textId="77777777" w:rsidR="005721D5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3C06AE">
              <w:rPr>
                <w:sz w:val="20"/>
                <w:szCs w:val="20"/>
              </w:rPr>
              <w:t>2. M.</w:t>
            </w:r>
            <w:r>
              <w:rPr>
                <w:sz w:val="20"/>
                <w:szCs w:val="20"/>
              </w:rPr>
              <w:t xml:space="preserve"> </w:t>
            </w:r>
            <w:r w:rsidRPr="003C06AE">
              <w:rPr>
                <w:sz w:val="20"/>
                <w:szCs w:val="20"/>
              </w:rPr>
              <w:t xml:space="preserve">Wierzbowski, L. Sobolewski, P. Wajda, </w:t>
            </w:r>
            <w:r w:rsidRPr="003C06AE">
              <w:rPr>
                <w:i/>
                <w:iCs/>
                <w:sz w:val="20"/>
                <w:szCs w:val="20"/>
              </w:rPr>
              <w:t>Prawo rynku kapitałowego. Komentarz</w:t>
            </w:r>
            <w:r w:rsidRPr="003C06AE">
              <w:rPr>
                <w:sz w:val="20"/>
                <w:szCs w:val="20"/>
              </w:rPr>
              <w:t>, Warszawa 2014</w:t>
            </w:r>
            <w:r>
              <w:rPr>
                <w:rFonts w:ascii="GillSans" w:hAnsi="GillSans"/>
              </w:rPr>
              <w:t xml:space="preserve"> </w:t>
            </w:r>
          </w:p>
        </w:tc>
      </w:tr>
    </w:tbl>
    <w:p w14:paraId="3ABE7DB1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8BA3B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D4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7175" w14:textId="77777777" w:rsidR="0018345D" w:rsidRDefault="0018345D" w:rsidP="00C16ABF">
      <w:pPr>
        <w:spacing w:after="0" w:line="240" w:lineRule="auto"/>
      </w:pPr>
      <w:r>
        <w:separator/>
      </w:r>
    </w:p>
  </w:endnote>
  <w:endnote w:type="continuationSeparator" w:id="0">
    <w:p w14:paraId="6D1D5275" w14:textId="77777777" w:rsidR="0018345D" w:rsidRDefault="001834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Sans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A32C" w14:textId="77777777" w:rsidR="0018345D" w:rsidRDefault="0018345D" w:rsidP="00C16ABF">
      <w:pPr>
        <w:spacing w:after="0" w:line="240" w:lineRule="auto"/>
      </w:pPr>
      <w:r>
        <w:separator/>
      </w:r>
    </w:p>
  </w:footnote>
  <w:footnote w:type="continuationSeparator" w:id="0">
    <w:p w14:paraId="6924EA3E" w14:textId="77777777" w:rsidR="0018345D" w:rsidRDefault="0018345D" w:rsidP="00C16ABF">
      <w:pPr>
        <w:spacing w:after="0" w:line="240" w:lineRule="auto"/>
      </w:pPr>
      <w:r>
        <w:continuationSeparator/>
      </w:r>
    </w:p>
  </w:footnote>
  <w:footnote w:id="1">
    <w:p w14:paraId="73EFEF75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5490">
    <w:abstractNumId w:val="1"/>
  </w:num>
  <w:num w:numId="2" w16cid:durableId="1049888332">
    <w:abstractNumId w:val="7"/>
  </w:num>
  <w:num w:numId="3" w16cid:durableId="697779254">
    <w:abstractNumId w:val="5"/>
  </w:num>
  <w:num w:numId="4" w16cid:durableId="1574662394">
    <w:abstractNumId w:val="0"/>
  </w:num>
  <w:num w:numId="5" w16cid:durableId="352418647">
    <w:abstractNumId w:val="4"/>
  </w:num>
  <w:num w:numId="6" w16cid:durableId="647780723">
    <w:abstractNumId w:val="2"/>
  </w:num>
  <w:num w:numId="7" w16cid:durableId="1394698677">
    <w:abstractNumId w:val="3"/>
  </w:num>
  <w:num w:numId="8" w16cid:durableId="64423739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4E8B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345D"/>
    <w:rsid w:val="00185B26"/>
    <w:rsid w:val="00192F37"/>
    <w:rsid w:val="001A70D2"/>
    <w:rsid w:val="001D657B"/>
    <w:rsid w:val="001D768E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A77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91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272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C4822"/>
    <w:rsid w:val="007D6E56"/>
    <w:rsid w:val="007F4155"/>
    <w:rsid w:val="0081554D"/>
    <w:rsid w:val="0081707E"/>
    <w:rsid w:val="00837584"/>
    <w:rsid w:val="00843577"/>
    <w:rsid w:val="008449B3"/>
    <w:rsid w:val="00851A52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E6508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038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51B6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B5A"/>
    <w:rsid w:val="00BA40CF"/>
    <w:rsid w:val="00BB520A"/>
    <w:rsid w:val="00BD3869"/>
    <w:rsid w:val="00BD66E9"/>
    <w:rsid w:val="00BD6FF4"/>
    <w:rsid w:val="00BE7D0D"/>
    <w:rsid w:val="00BF2C41"/>
    <w:rsid w:val="00C058B4"/>
    <w:rsid w:val="00C05DF5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A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B67"/>
    <w:rsid w:val="00DF71C8"/>
    <w:rsid w:val="00E045D0"/>
    <w:rsid w:val="00E05376"/>
    <w:rsid w:val="00E129B8"/>
    <w:rsid w:val="00E14487"/>
    <w:rsid w:val="00E21E7D"/>
    <w:rsid w:val="00E22FBC"/>
    <w:rsid w:val="00E247EF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F79A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8CD1-D2A5-124A-990E-AB617F4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1398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2023-10-16T09:46:00Z</dcterms:created>
  <dcterms:modified xsi:type="dcterms:W3CDTF">2023-10-16T09:46:00Z</dcterms:modified>
</cp:coreProperties>
</file>